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B75150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5150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853209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E82138" w:rsidRDefault="007263D5" w:rsidP="00EA6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учебной дисциплины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38.02.01 Экономика и бухгалтерский учет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853209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 : 2021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FB6973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FB6973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E82138" w:rsidRPr="00194E60" w:rsidRDefault="00E82138" w:rsidP="00E82138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</w:t>
      </w:r>
      <w:proofErr w:type="spellStart"/>
      <w:r w:rsidRPr="00194E60">
        <w:rPr>
          <w:sz w:val="28"/>
          <w:szCs w:val="28"/>
        </w:rPr>
        <w:t>сформированность</w:t>
      </w:r>
      <w:proofErr w:type="spellEnd"/>
      <w:r w:rsidRPr="00194E6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5) </w:t>
      </w:r>
      <w:proofErr w:type="spellStart"/>
      <w:r w:rsidRPr="00194E60">
        <w:rPr>
          <w:sz w:val="28"/>
          <w:szCs w:val="28"/>
        </w:rPr>
        <w:t>сформированность</w:t>
      </w:r>
      <w:proofErr w:type="spellEnd"/>
      <w:r w:rsidRPr="00194E60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194E60">
        <w:rPr>
          <w:sz w:val="28"/>
          <w:szCs w:val="28"/>
        </w:rPr>
        <w:t>отношениек</w:t>
      </w:r>
      <w:proofErr w:type="spellEnd"/>
      <w:r w:rsidRPr="00194E60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194E60">
        <w:rPr>
          <w:sz w:val="28"/>
          <w:szCs w:val="28"/>
        </w:rPr>
        <w:t>другихлюдей</w:t>
      </w:r>
      <w:proofErr w:type="spellEnd"/>
      <w:r w:rsidRPr="00194E60">
        <w:rPr>
          <w:sz w:val="28"/>
          <w:szCs w:val="28"/>
        </w:rPr>
        <w:t>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14) </w:t>
      </w:r>
      <w:proofErr w:type="spellStart"/>
      <w:r w:rsidRPr="00194E60">
        <w:rPr>
          <w:sz w:val="28"/>
          <w:szCs w:val="28"/>
        </w:rPr>
        <w:t>сформированность</w:t>
      </w:r>
      <w:proofErr w:type="spellEnd"/>
      <w:r w:rsidRPr="00194E60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194E60">
        <w:rPr>
          <w:b/>
          <w:sz w:val="28"/>
          <w:szCs w:val="28"/>
        </w:rPr>
        <w:t>Метапредметные</w:t>
      </w:r>
      <w:proofErr w:type="spellEnd"/>
      <w:r w:rsidRPr="00194E60">
        <w:rPr>
          <w:b/>
          <w:sz w:val="28"/>
          <w:szCs w:val="28"/>
        </w:rPr>
        <w:t xml:space="preserve">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умение использовать  разнообразные формы и виды физкультурной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деятельностидля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организации здорового образа жизни, активного отдыха и досуга, в том числе в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подготовкек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выполнению нормативов Всероссийского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физкультурно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</w:t>
      </w:r>
      <w:r w:rsidRPr="00194E60">
        <w:rPr>
          <w:rFonts w:eastAsia="Times New Roman"/>
          <w:sz w:val="28"/>
          <w:szCs w:val="28"/>
          <w:lang w:eastAsia="ar-SA"/>
        </w:rPr>
        <w:lastRenderedPageBreak/>
        <w:t>деятельности.</w:t>
      </w:r>
    </w:p>
    <w:p w:rsidR="00FB6973" w:rsidRPr="00D6237B" w:rsidRDefault="00FB6973" w:rsidP="00FB6973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FB6973" w:rsidRPr="00D6237B" w:rsidRDefault="00FB6973" w:rsidP="00FB697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FB6973" w:rsidRDefault="00FB6973" w:rsidP="00FB6973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B6973" w:rsidRDefault="00FB6973" w:rsidP="00FB6973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FB6973" w:rsidRDefault="00FB6973" w:rsidP="00FB6973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B6973" w:rsidRDefault="00FB6973" w:rsidP="00FB6973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FB6973" w:rsidRDefault="00FB6973" w:rsidP="00FB6973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B6973" w:rsidRDefault="00FB6973" w:rsidP="00FB6973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B6973" w:rsidRDefault="00FB6973" w:rsidP="00FB6973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FB6973" w:rsidRDefault="00FB6973" w:rsidP="00FB6973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B6973" w:rsidRDefault="00FB6973" w:rsidP="00FB6973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FB6973" w:rsidRDefault="00FB6973" w:rsidP="00FB6973">
      <w:pPr>
        <w:pStyle w:val="a"/>
      </w:pPr>
      <w:r>
        <w:t>практически использовать приемы защиты и самообороны;</w:t>
      </w:r>
    </w:p>
    <w:p w:rsidR="00FB6973" w:rsidRDefault="00FB6973" w:rsidP="00FB6973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FB6973" w:rsidRDefault="00FB6973" w:rsidP="00FB6973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FB6973" w:rsidRDefault="00FB6973" w:rsidP="00FB6973">
      <w:pPr>
        <w:pStyle w:val="a"/>
      </w:pPr>
      <w:r>
        <w:lastRenderedPageBreak/>
        <w:t>проводить мероприятия по профилактике травматизма во время занятий физическими упражнениями;</w:t>
      </w:r>
    </w:p>
    <w:p w:rsidR="00FB6973" w:rsidRDefault="00FB6973" w:rsidP="00FB6973">
      <w:pPr>
        <w:pStyle w:val="a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B6973" w:rsidRDefault="00FB6973" w:rsidP="00FB6973"/>
    <w:p w:rsidR="00FB6973" w:rsidRPr="00D6237B" w:rsidRDefault="00FB6973" w:rsidP="00FB697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proofErr w:type="gramStart"/>
      <w:r w:rsidRPr="00194E60">
        <w:rPr>
          <w:rFonts w:ascii="Times New Roman" w:hAnsi="Times New Roman"/>
          <w:sz w:val="28"/>
          <w:szCs w:val="28"/>
        </w:rPr>
        <w:t>–ч</w:t>
      </w:r>
      <w:proofErr w:type="gramEnd"/>
      <w:r w:rsidRPr="00194E60">
        <w:rPr>
          <w:rFonts w:ascii="Times New Roman" w:hAnsi="Times New Roman"/>
          <w:sz w:val="28"/>
          <w:szCs w:val="28"/>
        </w:rPr>
        <w:t>асов.</w:t>
      </w:r>
    </w:p>
    <w:p w:rsidR="00FB6973" w:rsidRDefault="00FB6973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973" w:rsidRDefault="00FB6973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учебной дисциплины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учебной дисциплины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8"/>
        <w:gridCol w:w="4857"/>
      </w:tblGrid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М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</w:tcPr>
          <w:p w:rsidR="007263D5" w:rsidRPr="0099756D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1D70D4">
        <w:trPr>
          <w:trHeight w:val="428"/>
        </w:trPr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1D70D4"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1641B1" w:rsidTr="00700D85">
        <w:trPr>
          <w:trHeight w:val="20"/>
        </w:trPr>
        <w:tc>
          <w:tcPr>
            <w:tcW w:w="2307" w:type="dxa"/>
            <w:gridSpan w:val="2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1641B1" w:rsidRDefault="007263D5" w:rsidP="0070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33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263D5" w:rsidRPr="001641B1" w:rsidTr="00700D85">
        <w:trPr>
          <w:trHeight w:val="279"/>
        </w:trPr>
        <w:tc>
          <w:tcPr>
            <w:tcW w:w="2307" w:type="dxa"/>
            <w:gridSpan w:val="2"/>
          </w:tcPr>
          <w:p w:rsidR="007263D5" w:rsidRPr="001641B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00D85" w:rsidRPr="001641B1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700D85" w:rsidRPr="001641B1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641B1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D11971" w:rsidRDefault="00A14841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 Основы здорового образа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жизни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изическая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1641B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6968" w:rsidRPr="001641B1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D11971" w:rsidRDefault="00700D85" w:rsidP="00700D85">
            <w:pPr>
              <w:tabs>
                <w:tab w:val="left" w:pos="916"/>
                <w:tab w:val="left" w:pos="1832"/>
                <w:tab w:val="left" w:pos="290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7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1641B1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1641B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641B1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D11971" w:rsidRDefault="00EA6968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641B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700D85">
        <w:trPr>
          <w:trHeight w:val="1457"/>
        </w:trPr>
        <w:tc>
          <w:tcPr>
            <w:tcW w:w="2307" w:type="dxa"/>
            <w:gridSpan w:val="2"/>
          </w:tcPr>
          <w:p w:rsidR="00700D85" w:rsidRPr="00D11971" w:rsidRDefault="00700D85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1" w:type="dxa"/>
            <w:gridSpan w:val="2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1641B1" w:rsidRDefault="00C5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700D85" w:rsidRPr="001641B1" w:rsidTr="00165D45">
        <w:trPr>
          <w:trHeight w:val="20"/>
        </w:trPr>
        <w:tc>
          <w:tcPr>
            <w:tcW w:w="2307" w:type="dxa"/>
            <w:gridSpan w:val="2"/>
          </w:tcPr>
          <w:p w:rsidR="00700D85" w:rsidRPr="00D11971" w:rsidRDefault="00700D85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 Легкая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атлетика</w:t>
            </w:r>
          </w:p>
        </w:tc>
        <w:tc>
          <w:tcPr>
            <w:tcW w:w="9574" w:type="dxa"/>
            <w:gridSpan w:val="6"/>
          </w:tcPr>
          <w:p w:rsidR="00700D85" w:rsidRPr="00700D85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700D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B856AC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148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B856AC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70792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70792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Составить комплекс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 упражнений (ОРУ).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EBC" w:rsidRPr="00145C42" w:rsidTr="000A1F41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46EBC" w:rsidRPr="00D11971" w:rsidRDefault="00E46EBC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2" w:type="dxa"/>
            <w:gridSpan w:val="8"/>
          </w:tcPr>
          <w:p w:rsidR="00E46EBC" w:rsidRPr="00E46EBC" w:rsidRDefault="00E46EBC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E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EA6968" w:rsidRPr="00145C42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657A24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15"/>
        </w:trPr>
        <w:tc>
          <w:tcPr>
            <w:tcW w:w="2233" w:type="dxa"/>
            <w:vMerge w:val="restart"/>
          </w:tcPr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DC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Упражнения для развития мышц спины, сгибание–разгибание рук в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упоре  лёжа.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00"/>
                <w:tab w:val="center" w:pos="192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995" w:type="dxa"/>
          </w:tcPr>
          <w:p w:rsidR="00EA6968" w:rsidRPr="00D11971" w:rsidRDefault="00C55B2F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Т\Б на занятиях лыжным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спортом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одбор</w:t>
            </w:r>
            <w:proofErr w:type="spellEnd"/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лыжного инвентаря. Уход и хранение.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C55B2F" w:rsidRDefault="00C55B2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Строевые приемы с лыжами и на лыжах. 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Способы ходов: 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попеременного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двухшажного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 с горы.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передвижения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Выполнение зачетного упражнения: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способы  подъемов в гору.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четырёхшажный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г-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Катание на лыжах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Катание на лыжах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четырёхшажным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00"/>
                <w:tab w:val="center" w:pos="192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D11971" w:rsidRDefault="00C55B2F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Т/Б на занятиях волейболом.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C55B2F" w:rsidRDefault="00C55B2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(обучение) верхней и нижней прямой подачи мяча.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46EBC" w:rsidP="00E4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D11971" w:rsidRDefault="00C55B2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Т\Б на занятиях легкой атлетики. </w:t>
            </w:r>
            <w:r w:rsidR="0076054D">
              <w:rPr>
                <w:rFonts w:ascii="Times New Roman" w:hAnsi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3км.</w:t>
            </w:r>
          </w:p>
        </w:tc>
        <w:tc>
          <w:tcPr>
            <w:tcW w:w="1785" w:type="dxa"/>
            <w:vAlign w:val="center"/>
          </w:tcPr>
          <w:p w:rsidR="00EA6968" w:rsidRPr="0076054D" w:rsidRDefault="0076054D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54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C55B2F" w:rsidRDefault="00C55B2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D119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D11971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D1197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Н.В.Решетников, Ю.Л.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Кислицын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Р.Л.Палтиевич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Г.И.Погадаев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. — 15-е изд., стер. – М.: Издательский центр «Академия», 2015.- 176с.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lastRenderedPageBreak/>
        <w:t xml:space="preserve">2.Ю.Н.Аллаянов,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И.А.Письменский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Физическая культура 3-еизд. Учебник для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1.Вайнер Э.Н. </w:t>
      </w:r>
      <w:proofErr w:type="spellStart"/>
      <w:r w:rsidRPr="00D11971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D11971">
        <w:rPr>
          <w:rFonts w:ascii="Times New Roman" w:hAnsi="Times New Roman"/>
          <w:sz w:val="28"/>
          <w:szCs w:val="28"/>
        </w:rPr>
        <w:t>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2.Бишаева А.А. Физическая культура. [Текст]: Учебник для СПО-8-е </w:t>
      </w:r>
      <w:proofErr w:type="spellStart"/>
      <w:r w:rsidRPr="00D11971">
        <w:rPr>
          <w:rFonts w:ascii="Times New Roman" w:hAnsi="Times New Roman"/>
          <w:sz w:val="28"/>
          <w:szCs w:val="28"/>
        </w:rPr>
        <w:t>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</w:t>
      </w:r>
      <w:proofErr w:type="spellEnd"/>
      <w:r w:rsidRPr="00D11971">
        <w:rPr>
          <w:rFonts w:ascii="Times New Roman" w:hAnsi="Times New Roman"/>
          <w:sz w:val="28"/>
          <w:szCs w:val="28"/>
        </w:rPr>
        <w:t>.- М.: Академия, 2015.- 304с.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Дядичкина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Н.С.,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Богащенко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Ю.А. Физическая культура. Учебник и практикум для СПО.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D11971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Default="007263D5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7263D5" w:rsidRPr="00802241" w:rsidRDefault="007263D5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EA6968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</w:rPr>
      </w:pP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802241" w:rsidRPr="00E9117C" w:rsidRDefault="00802241" w:rsidP="00802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p w:rsidR="007263D5" w:rsidRPr="00D11971" w:rsidRDefault="007263D5" w:rsidP="00D1197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EA6968" w:rsidRPr="00C911A5" w:rsidTr="00EA6968">
        <w:tc>
          <w:tcPr>
            <w:tcW w:w="4928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642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A6968" w:rsidRPr="00C911A5" w:rsidTr="00EA6968">
        <w:trPr>
          <w:trHeight w:val="10665"/>
        </w:trPr>
        <w:tc>
          <w:tcPr>
            <w:tcW w:w="4928" w:type="dxa"/>
            <w:tcBorders>
              <w:bottom w:val="single" w:sz="4" w:space="0" w:color="auto"/>
            </w:tcBorders>
          </w:tcPr>
          <w:p w:rsidR="00165D45" w:rsidRPr="00165D45" w:rsidRDefault="00FB6973" w:rsidP="00165D45">
            <w:pPr>
              <w:pStyle w:val="c3"/>
            </w:pPr>
            <w:proofErr w:type="gramStart"/>
            <w:r>
              <w:t>Обучающийся</w:t>
            </w:r>
            <w:proofErr w:type="gramEnd"/>
            <w:r w:rsidR="00165D45">
              <w:t xml:space="preserve"> на базовом уровне </w:t>
            </w:r>
            <w:r w:rsidR="00165D45" w:rsidRPr="00165D45">
              <w:t xml:space="preserve"> научится: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 использовать приемы </w:t>
            </w:r>
            <w:proofErr w:type="spellStart"/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релаксации;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 использовать приемы </w:t>
            </w: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и самообороны;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165D45" w:rsidRDefault="00FB6973" w:rsidP="00165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базовом уровне </w:t>
            </w:r>
            <w:r w:rsidR="00165D45"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в избранном виде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  <w:p w:rsidR="00EA6968" w:rsidRPr="00C911A5" w:rsidRDefault="00EA6968" w:rsidP="00165D45">
            <w:pPr>
              <w:pStyle w:val="afb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AB2CB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A6968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-сдача нормативов по легкой атлетике;</w:t>
            </w:r>
          </w:p>
          <w:p w:rsidR="00EA6968" w:rsidRPr="00E9117C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117C">
              <w:rPr>
                <w:rFonts w:ascii="Times New Roman" w:hAnsi="Times New Roman"/>
                <w:sz w:val="24"/>
                <w:szCs w:val="24"/>
              </w:rPr>
              <w:t>сдача нормативов по ГТО</w:t>
            </w:r>
          </w:p>
          <w:p w:rsidR="00EA6968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A6968" w:rsidRPr="00C911A5" w:rsidTr="00165D45">
        <w:trPr>
          <w:trHeight w:hRule="exact" w:val="95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Промежуточный  контроль: 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  <w:r w:rsidR="00165D45">
              <w:rPr>
                <w:rFonts w:ascii="Times New Roman" w:hAnsi="Times New Roman"/>
                <w:sz w:val="24"/>
                <w:szCs w:val="24"/>
              </w:rPr>
              <w:t xml:space="preserve"> в 1,2 семестре</w:t>
            </w:r>
          </w:p>
        </w:tc>
      </w:tr>
    </w:tbl>
    <w:p w:rsidR="007263D5" w:rsidRDefault="007263D5" w:rsidP="0017517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Pr="00A41E29" w:rsidRDefault="007263D5" w:rsidP="00E63F7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EA6968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45" w:rsidRDefault="00165D45">
      <w:pPr>
        <w:spacing w:after="0" w:line="240" w:lineRule="auto"/>
      </w:pPr>
      <w:r>
        <w:separator/>
      </w:r>
    </w:p>
  </w:endnote>
  <w:endnote w:type="continuationSeparator" w:id="0">
    <w:p w:rsidR="00165D45" w:rsidRDefault="001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45" w:rsidRDefault="00165D45">
      <w:pPr>
        <w:spacing w:after="0" w:line="240" w:lineRule="auto"/>
      </w:pPr>
      <w:r>
        <w:separator/>
      </w:r>
    </w:p>
  </w:footnote>
  <w:footnote w:type="continuationSeparator" w:id="0">
    <w:p w:rsidR="00165D45" w:rsidRDefault="0016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B75150">
    <w:pPr>
      <w:pStyle w:val="af1"/>
      <w:jc w:val="center"/>
    </w:pPr>
    <w:fldSimple w:instr=" PAGE   \* MERGEFORMAT ">
      <w:r w:rsidR="001E5830">
        <w:rPr>
          <w:noProof/>
        </w:rPr>
        <w:t>5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F1B96"/>
    <w:rsid w:val="000F4901"/>
    <w:rsid w:val="0010142C"/>
    <w:rsid w:val="001203CE"/>
    <w:rsid w:val="00127484"/>
    <w:rsid w:val="00145C42"/>
    <w:rsid w:val="001641B1"/>
    <w:rsid w:val="00165D45"/>
    <w:rsid w:val="0017517B"/>
    <w:rsid w:val="00192AE0"/>
    <w:rsid w:val="001C4BEF"/>
    <w:rsid w:val="001C5AC6"/>
    <w:rsid w:val="001D39DC"/>
    <w:rsid w:val="001D70D4"/>
    <w:rsid w:val="001E5569"/>
    <w:rsid w:val="001E5830"/>
    <w:rsid w:val="001F09DE"/>
    <w:rsid w:val="002149A0"/>
    <w:rsid w:val="0022070F"/>
    <w:rsid w:val="00234851"/>
    <w:rsid w:val="00267101"/>
    <w:rsid w:val="00282750"/>
    <w:rsid w:val="002A321E"/>
    <w:rsid w:val="002A59EC"/>
    <w:rsid w:val="002D0C81"/>
    <w:rsid w:val="0030144B"/>
    <w:rsid w:val="0033551C"/>
    <w:rsid w:val="00347028"/>
    <w:rsid w:val="00355AFE"/>
    <w:rsid w:val="003736A2"/>
    <w:rsid w:val="003B1A8B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D6064"/>
    <w:rsid w:val="00574F17"/>
    <w:rsid w:val="00657A24"/>
    <w:rsid w:val="00660E7E"/>
    <w:rsid w:val="00680178"/>
    <w:rsid w:val="00682450"/>
    <w:rsid w:val="006A525B"/>
    <w:rsid w:val="006B0A37"/>
    <w:rsid w:val="006E35D6"/>
    <w:rsid w:val="006E482D"/>
    <w:rsid w:val="00700D85"/>
    <w:rsid w:val="007030E9"/>
    <w:rsid w:val="00707928"/>
    <w:rsid w:val="007263D5"/>
    <w:rsid w:val="0074618B"/>
    <w:rsid w:val="0076054D"/>
    <w:rsid w:val="007658B0"/>
    <w:rsid w:val="007804B3"/>
    <w:rsid w:val="007B2636"/>
    <w:rsid w:val="007E3D93"/>
    <w:rsid w:val="00802241"/>
    <w:rsid w:val="00807DFF"/>
    <w:rsid w:val="0082480B"/>
    <w:rsid w:val="00853209"/>
    <w:rsid w:val="00861F63"/>
    <w:rsid w:val="00873DCD"/>
    <w:rsid w:val="008F5557"/>
    <w:rsid w:val="008F5ABD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37254"/>
    <w:rsid w:val="00A41E29"/>
    <w:rsid w:val="00AD235B"/>
    <w:rsid w:val="00B145E9"/>
    <w:rsid w:val="00B20E1A"/>
    <w:rsid w:val="00B75150"/>
    <w:rsid w:val="00B84EBA"/>
    <w:rsid w:val="00B856AC"/>
    <w:rsid w:val="00BD2A9D"/>
    <w:rsid w:val="00BF6309"/>
    <w:rsid w:val="00C10631"/>
    <w:rsid w:val="00C123F2"/>
    <w:rsid w:val="00C127CB"/>
    <w:rsid w:val="00C24663"/>
    <w:rsid w:val="00C35901"/>
    <w:rsid w:val="00C53D8E"/>
    <w:rsid w:val="00C55B2F"/>
    <w:rsid w:val="00C838DB"/>
    <w:rsid w:val="00C97564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174CE"/>
    <w:rsid w:val="00E425AC"/>
    <w:rsid w:val="00E46EBC"/>
    <w:rsid w:val="00E63F78"/>
    <w:rsid w:val="00E82138"/>
    <w:rsid w:val="00E90116"/>
    <w:rsid w:val="00E9117C"/>
    <w:rsid w:val="00EA6968"/>
    <w:rsid w:val="00EB3A63"/>
    <w:rsid w:val="00EE0DB0"/>
    <w:rsid w:val="00F03EA8"/>
    <w:rsid w:val="00F40F94"/>
    <w:rsid w:val="00F63FB0"/>
    <w:rsid w:val="00F66CB1"/>
    <w:rsid w:val="00FA2328"/>
    <w:rsid w:val="00FB51C0"/>
    <w:rsid w:val="00FB6973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sz w:val="20"/>
      <w:szCs w:val="20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lang w:eastAsia="en-US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FB6973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FB6973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F9B1-F49A-45B9-A855-E72DB3AB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28</Pages>
  <Words>3026</Words>
  <Characters>23008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2020-01-16T09:40:00Z</cp:lastPrinted>
  <dcterms:created xsi:type="dcterms:W3CDTF">2018-06-19T06:21:00Z</dcterms:created>
  <dcterms:modified xsi:type="dcterms:W3CDTF">2021-05-15T12:05:00Z</dcterms:modified>
</cp:coreProperties>
</file>