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2A1648" w:rsidRPr="00D37373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20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 xml:space="preserve">13) осознанный выбор будущей профессии и возможностей реализации собственных </w:t>
      </w:r>
      <w:r w:rsidRPr="00161C02">
        <w:lastRenderedPageBreak/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D17760" w:rsidRPr="00D35A5C" w:rsidRDefault="00D17760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377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5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1.4 Количество часов на освоение программы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9928CE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9928CE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 w:rsidR="00B53776">
        <w:rPr>
          <w:rFonts w:ascii="Times New Roman" w:hAnsi="Times New Roman" w:cs="Times New Roman"/>
          <w:sz w:val="24"/>
          <w:szCs w:val="24"/>
        </w:rPr>
        <w:t>21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322939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322939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322939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322939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B53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B53776" w:rsidRPr="00B5377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системы.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эллиптические, неправильные);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B5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828F6"/>
    <w:rsid w:val="000A1ACD"/>
    <w:rsid w:val="000E68A6"/>
    <w:rsid w:val="00161C02"/>
    <w:rsid w:val="001871D6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22939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9928CE"/>
    <w:rsid w:val="00A37ADA"/>
    <w:rsid w:val="00A62604"/>
    <w:rsid w:val="00A935CC"/>
    <w:rsid w:val="00AE5F6F"/>
    <w:rsid w:val="00B02E8C"/>
    <w:rsid w:val="00B5110E"/>
    <w:rsid w:val="00B53776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17760"/>
    <w:rsid w:val="00D83935"/>
    <w:rsid w:val="00DC2A74"/>
    <w:rsid w:val="00DC3ED2"/>
    <w:rsid w:val="00E16803"/>
    <w:rsid w:val="00E52406"/>
    <w:rsid w:val="00E74757"/>
    <w:rsid w:val="00E7738E"/>
    <w:rsid w:val="00E95194"/>
    <w:rsid w:val="00ED2311"/>
    <w:rsid w:val="00EF4F37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2938</Words>
  <Characters>24494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5</cp:revision>
  <dcterms:created xsi:type="dcterms:W3CDTF">2021-04-20T06:47:00Z</dcterms:created>
  <dcterms:modified xsi:type="dcterms:W3CDTF">2021-04-20T16:46:00Z</dcterms:modified>
</cp:coreProperties>
</file>