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B263DB">
        <w:rPr>
          <w:rFonts w:ascii="Times New Roman" w:hAnsi="Times New Roman"/>
          <w:b/>
          <w:sz w:val="28"/>
          <w:szCs w:val="28"/>
        </w:rPr>
        <w:t>7</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DB2CAE">
        <w:rPr>
          <w:rFonts w:ascii="Times New Roman" w:hAnsi="Times New Roman"/>
          <w:b/>
          <w:sz w:val="28"/>
          <w:szCs w:val="28"/>
        </w:rPr>
        <w:t>21</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C110FB">
        <w:rPr>
          <w:rFonts w:ascii="Times New Roman" w:hAnsi="Times New Roman"/>
          <w:sz w:val="24"/>
          <w:szCs w:val="24"/>
        </w:rPr>
        <w:t>15</w:t>
      </w:r>
      <w:r w:rsidR="000A24F6" w:rsidRPr="00B263DB">
        <w:rPr>
          <w:rFonts w:ascii="Times New Roman" w:hAnsi="Times New Roman"/>
          <w:sz w:val="24"/>
          <w:szCs w:val="24"/>
        </w:rPr>
        <w:t>.02.</w:t>
      </w:r>
      <w:r w:rsidR="00C110FB">
        <w:rPr>
          <w:rFonts w:ascii="Times New Roman" w:hAnsi="Times New Roman"/>
          <w:sz w:val="24"/>
          <w:szCs w:val="24"/>
        </w:rPr>
        <w:t>1</w:t>
      </w:r>
      <w:r w:rsidR="000A24F6" w:rsidRPr="00B263DB">
        <w:rPr>
          <w:rFonts w:ascii="Times New Roman" w:hAnsi="Times New Roman"/>
          <w:sz w:val="24"/>
          <w:szCs w:val="24"/>
        </w:rPr>
        <w:t xml:space="preserve">2 </w:t>
      </w:r>
      <w:r w:rsidR="00C110FB">
        <w:rPr>
          <w:rFonts w:ascii="Times New Roman" w:hAnsi="Times New Roman"/>
          <w:sz w:val="24"/>
          <w:szCs w:val="24"/>
        </w:rPr>
        <w:t xml:space="preserve">Монтаж, техническое обслуживание и ремонт промышленного оборудования </w:t>
      </w:r>
      <w:proofErr w:type="gramStart"/>
      <w:r w:rsidR="00C110FB">
        <w:rPr>
          <w:rFonts w:ascii="Times New Roman" w:hAnsi="Times New Roman"/>
          <w:sz w:val="24"/>
          <w:szCs w:val="24"/>
        </w:rPr>
        <w:t xml:space="preserve">( </w:t>
      </w:r>
      <w:proofErr w:type="gramEnd"/>
      <w:r w:rsidR="00C110FB">
        <w:rPr>
          <w:rFonts w:ascii="Times New Roman" w:hAnsi="Times New Roman"/>
          <w:sz w:val="24"/>
          <w:szCs w:val="24"/>
        </w:rPr>
        <w:t>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DB2CAE">
        <w:rPr>
          <w:rFonts w:ascii="Times New Roman" w:hAnsi="Times New Roman"/>
          <w:sz w:val="24"/>
          <w:szCs w:val="24"/>
        </w:rPr>
        <w:t>21</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D63BB9"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D63BB9"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D63BB9"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отношениек физическому и психологическому здоровью, как собственному, так и другихлюдей,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r w:rsidRPr="00B263DB">
        <w:rPr>
          <w:b/>
        </w:rPr>
        <w:t>Метапредметные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сформированность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оперировать основными понятиями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экориска, объяснять, как снизить последствия их воздействия;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1C75C2">
        <w:rPr>
          <w:rFonts w:ascii="Times New Roman" w:hAnsi="Times New Roman"/>
          <w:sz w:val="24"/>
          <w:szCs w:val="24"/>
        </w:rPr>
        <w:lastRenderedPageBreak/>
        <w:t>чрезвычайных ситуаций, возникающих при ведении военных действий или вследствие этих действий;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противодействия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экстремизма, терроризма и наркотизма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взаимосвязь экстремизма, терроризма и наркотизма;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противодействия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общегосударственной системы противодействия экстремизму, терроризму и наркотизму;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основные принципы и направления противодействия экстремистской, террористической деятельности и наркотизму;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органы исполнительной власти, осуществляющие противодействие экстремизму, терроризму и наркотизму в Российской Федерации;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Основы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 каких случаях используются перебежки и переползания;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перебежки и переползания (по-пластунски, на получетвереньках, на боку);</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по выносу раненых с поля боя.</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объяснять порядок подготовки граждан по военно-учетным специальностям;</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D63BB9" w:rsidRPr="001C75C2" w:rsidRDefault="00D63BB9" w:rsidP="00D63BB9">
      <w:pPr>
        <w:spacing w:line="240" w:lineRule="auto"/>
        <w:contextualSpacing/>
        <w:rPr>
          <w:rFonts w:ascii="Times New Roman" w:hAnsi="Times New Roman"/>
          <w:sz w:val="24"/>
          <w:szCs w:val="24"/>
        </w:rPr>
      </w:pPr>
    </w:p>
    <w:p w:rsidR="00D63BB9" w:rsidRPr="001C75C2" w:rsidRDefault="00D63BB9" w:rsidP="00D63BB9">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Pr="001C75C2" w:rsidRDefault="00D63BB9" w:rsidP="00D63BB9">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2E5C83" w:rsidRDefault="002E5C83"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704D2F" w:rsidRDefault="00704D2F" w:rsidP="00C911A5">
      <w:pPr>
        <w:pStyle w:val="ConsPlusNormal"/>
        <w:jc w:val="both"/>
        <w:rPr>
          <w:rFonts w:ascii="Times New Roman" w:hAnsi="Times New Roman" w:cs="Times New Roman"/>
          <w:sz w:val="24"/>
          <w:szCs w:val="24"/>
        </w:rPr>
      </w:pPr>
    </w:p>
    <w:p w:rsidR="00D63BB9" w:rsidRDefault="00D63BB9" w:rsidP="00C911A5">
      <w:pPr>
        <w:pStyle w:val="ConsPlusNormal"/>
        <w:jc w:val="both"/>
        <w:rPr>
          <w:rFonts w:ascii="Times New Roman" w:hAnsi="Times New Roman" w:cs="Times New Roman"/>
          <w:sz w:val="24"/>
          <w:szCs w:val="24"/>
        </w:rPr>
      </w:pPr>
    </w:p>
    <w:p w:rsidR="00D63BB9" w:rsidRPr="003B0237" w:rsidRDefault="00D63BB9" w:rsidP="00C911A5">
      <w:pPr>
        <w:pStyle w:val="ConsPlusNormal"/>
        <w:jc w:val="both"/>
        <w:rPr>
          <w:rFonts w:ascii="Times New Roman" w:hAnsi="Times New Roman" w:cs="Times New Roman"/>
          <w:sz w:val="24"/>
          <w:szCs w:val="24"/>
        </w:rPr>
      </w:pPr>
    </w:p>
    <w:p w:rsidR="00CE309E" w:rsidRPr="00C911A5" w:rsidRDefault="00E268D0" w:rsidP="00C911A5">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1.4</w:t>
      </w:r>
      <w:r w:rsidR="000F5390" w:rsidRPr="00C911A5">
        <w:rPr>
          <w:rFonts w:ascii="Times New Roman" w:hAnsi="Times New Roman"/>
          <w:b/>
          <w:sz w:val="24"/>
          <w:szCs w:val="24"/>
        </w:rPr>
        <w:t xml:space="preserve"> </w:t>
      </w:r>
      <w:r w:rsidR="00CE309E" w:rsidRPr="00C911A5">
        <w:rPr>
          <w:rFonts w:ascii="Times New Roman" w:hAnsi="Times New Roman"/>
          <w:b/>
          <w:sz w:val="24"/>
          <w:szCs w:val="24"/>
        </w:rPr>
        <w:t xml:space="preserve">Количество часов на освоение программы </w:t>
      </w:r>
      <w:r w:rsidR="00B50B4B" w:rsidRPr="00C911A5">
        <w:rPr>
          <w:rFonts w:ascii="Times New Roman" w:hAnsi="Times New Roman"/>
          <w:b/>
          <w:sz w:val="24"/>
          <w:szCs w:val="24"/>
        </w:rPr>
        <w:t>учебно</w:t>
      </w:r>
      <w:r w:rsidR="002E7C0A" w:rsidRPr="00C911A5">
        <w:rPr>
          <w:rFonts w:ascii="Times New Roman" w:hAnsi="Times New Roman"/>
          <w:b/>
          <w:sz w:val="24"/>
          <w:szCs w:val="24"/>
        </w:rPr>
        <w:t>го предмета</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r>
      <w:r w:rsidR="00C110FB">
        <w:rPr>
          <w:rFonts w:ascii="Times New Roman" w:hAnsi="Times New Roman"/>
          <w:sz w:val="24"/>
          <w:szCs w:val="24"/>
        </w:rPr>
        <w:t>О</w:t>
      </w:r>
      <w:r w:rsidRPr="00C911A5">
        <w:rPr>
          <w:rFonts w:ascii="Times New Roman" w:hAnsi="Times New Roman"/>
          <w:sz w:val="24"/>
          <w:szCs w:val="24"/>
        </w:rPr>
        <w:t xml:space="preserve">бязательная аудиторная нагрузка </w:t>
      </w:r>
      <w:proofErr w:type="gramStart"/>
      <w:r w:rsidRPr="00C911A5">
        <w:rPr>
          <w:rFonts w:ascii="Times New Roman" w:hAnsi="Times New Roman"/>
          <w:sz w:val="24"/>
          <w:szCs w:val="24"/>
        </w:rPr>
        <w:t>обучающегося</w:t>
      </w:r>
      <w:proofErr w:type="gramEnd"/>
      <w:r w:rsidRPr="00C911A5">
        <w:rPr>
          <w:rFonts w:ascii="Times New Roman" w:hAnsi="Times New Roman"/>
          <w:sz w:val="24"/>
          <w:szCs w:val="24"/>
        </w:rPr>
        <w:t xml:space="preserve"> – </w:t>
      </w:r>
      <w:r w:rsidR="000F053A" w:rsidRPr="00C911A5">
        <w:rPr>
          <w:rFonts w:ascii="Times New Roman" w:hAnsi="Times New Roman"/>
          <w:sz w:val="24"/>
          <w:szCs w:val="24"/>
        </w:rPr>
        <w:t>7</w:t>
      </w:r>
      <w:r w:rsidR="003B0237">
        <w:rPr>
          <w:rFonts w:ascii="Times New Roman" w:hAnsi="Times New Roman"/>
          <w:sz w:val="24"/>
          <w:szCs w:val="24"/>
        </w:rPr>
        <w:t>0</w:t>
      </w:r>
      <w:r w:rsidRPr="00C911A5">
        <w:rPr>
          <w:rFonts w:ascii="Times New Roman" w:hAnsi="Times New Roman"/>
          <w:sz w:val="24"/>
          <w:szCs w:val="24"/>
        </w:rPr>
        <w:t xml:space="preserve"> час</w:t>
      </w:r>
      <w:r w:rsidR="000F053A" w:rsidRPr="00C911A5">
        <w:rPr>
          <w:rFonts w:ascii="Times New Roman" w:hAnsi="Times New Roman"/>
          <w:sz w:val="24"/>
          <w:szCs w:val="24"/>
        </w:rPr>
        <w:t>ов</w:t>
      </w:r>
      <w:r w:rsidRPr="00C911A5">
        <w:rPr>
          <w:rFonts w:ascii="Times New Roman" w:hAnsi="Times New Roman"/>
          <w:sz w:val="24"/>
          <w:szCs w:val="24"/>
        </w:rPr>
        <w:t>;</w:t>
      </w:r>
    </w:p>
    <w:p w:rsidR="00AF12EC" w:rsidRPr="00C911A5" w:rsidRDefault="00AF12EC"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tab/>
        <w:t xml:space="preserve">самостоятельная работа обучающегося </w:t>
      </w:r>
      <w:proofErr w:type="gramStart"/>
      <w:r w:rsidRPr="00C911A5">
        <w:rPr>
          <w:rFonts w:ascii="Times New Roman" w:hAnsi="Times New Roman"/>
          <w:sz w:val="24"/>
          <w:szCs w:val="24"/>
        </w:rPr>
        <w:t>–ч</w:t>
      </w:r>
      <w:proofErr w:type="gramEnd"/>
      <w:r w:rsidRPr="00C911A5">
        <w:rPr>
          <w:rFonts w:ascii="Times New Roman" w:hAnsi="Times New Roman"/>
          <w:sz w:val="24"/>
          <w:szCs w:val="24"/>
        </w:rPr>
        <w:t>асов.</w:t>
      </w:r>
    </w:p>
    <w:p w:rsidR="00B265DF" w:rsidRPr="00C911A5" w:rsidRDefault="00B265DF"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9C39ED" w:rsidRPr="00C911A5" w:rsidRDefault="009C39ED"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Pr="00C911A5" w:rsidRDefault="000F053A" w:rsidP="00C911A5">
      <w:pPr>
        <w:widowControl w:val="0"/>
        <w:spacing w:after="0" w:line="240" w:lineRule="auto"/>
        <w:jc w:val="both"/>
        <w:rPr>
          <w:rFonts w:ascii="Times New Roman" w:hAnsi="Times New Roman"/>
          <w:b/>
          <w:sz w:val="24"/>
          <w:szCs w:val="24"/>
        </w:rPr>
      </w:pPr>
    </w:p>
    <w:p w:rsidR="000F053A" w:rsidRDefault="000F053A"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3B0237" w:rsidRDefault="003B0237"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110FB" w:rsidRDefault="00C110FB"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C911A5" w:rsidRDefault="00C911A5"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D63BB9" w:rsidRDefault="00D63BB9"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4"/>
      </w:tblGrid>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Объём часов</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Обязательная аудиторная учебная нагрузка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0F053A" w:rsidP="003B0237">
            <w:pPr>
              <w:pStyle w:val="ac"/>
              <w:widowControl w:val="0"/>
              <w:jc w:val="both"/>
              <w:rPr>
                <w:rFonts w:ascii="Times New Roman" w:hAnsi="Times New Roman"/>
                <w:sz w:val="24"/>
                <w:szCs w:val="24"/>
              </w:rPr>
            </w:pPr>
            <w:r w:rsidRPr="00B263DB">
              <w:rPr>
                <w:rFonts w:ascii="Times New Roman" w:hAnsi="Times New Roman"/>
                <w:sz w:val="24"/>
                <w:szCs w:val="24"/>
              </w:rPr>
              <w:t>7</w:t>
            </w:r>
            <w:r w:rsidR="003B0237" w:rsidRPr="00B263DB">
              <w:rPr>
                <w:rFonts w:ascii="Times New Roman" w:hAnsi="Times New Roman"/>
                <w:sz w:val="24"/>
                <w:szCs w:val="24"/>
              </w:rPr>
              <w:t>0</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в том числе:</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p>
        </w:tc>
      </w:tr>
      <w:tr w:rsidR="00F44119" w:rsidRPr="00B263DB" w:rsidTr="00C110FB">
        <w:tc>
          <w:tcPr>
            <w:tcW w:w="7196" w:type="dxa"/>
            <w:tcBorders>
              <w:top w:val="single" w:sz="4" w:space="0" w:color="auto"/>
              <w:left w:val="single" w:sz="4" w:space="0" w:color="auto"/>
              <w:bottom w:val="single" w:sz="4" w:space="0" w:color="auto"/>
              <w:right w:val="single" w:sz="4" w:space="0" w:color="auto"/>
            </w:tcBorders>
          </w:tcPr>
          <w:p w:rsidR="00F44119" w:rsidRPr="00B263DB" w:rsidRDefault="00F44119"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лабораторные занятия</w:t>
            </w:r>
          </w:p>
        </w:tc>
        <w:tc>
          <w:tcPr>
            <w:tcW w:w="2374" w:type="dxa"/>
            <w:tcBorders>
              <w:top w:val="single" w:sz="4" w:space="0" w:color="auto"/>
              <w:left w:val="single" w:sz="4" w:space="0" w:color="auto"/>
              <w:bottom w:val="single" w:sz="4" w:space="0" w:color="auto"/>
              <w:right w:val="single" w:sz="4" w:space="0" w:color="auto"/>
            </w:tcBorders>
          </w:tcPr>
          <w:p w:rsidR="00F44119" w:rsidRPr="00B263DB" w:rsidRDefault="003B0237" w:rsidP="00C911A5">
            <w:pPr>
              <w:pStyle w:val="ac"/>
              <w:widowControl w:val="0"/>
              <w:jc w:val="both"/>
              <w:rPr>
                <w:rFonts w:ascii="Times New Roman" w:hAnsi="Times New Roman"/>
                <w:sz w:val="24"/>
                <w:szCs w:val="24"/>
              </w:rPr>
            </w:pPr>
            <w:r w:rsidRPr="00B263DB">
              <w:rPr>
                <w:rFonts w:ascii="Times New Roman" w:hAnsi="Times New Roman"/>
                <w:sz w:val="24"/>
                <w:szCs w:val="24"/>
              </w:rPr>
              <w:t>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 xml:space="preserve">     практические занятия</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3B0237" w:rsidP="003B0237">
            <w:pPr>
              <w:pStyle w:val="ac"/>
              <w:widowControl w:val="0"/>
              <w:jc w:val="both"/>
              <w:rPr>
                <w:rFonts w:ascii="Times New Roman" w:hAnsi="Times New Roman"/>
                <w:sz w:val="24"/>
                <w:szCs w:val="24"/>
              </w:rPr>
            </w:pPr>
            <w:r w:rsidRPr="00B263DB">
              <w:rPr>
                <w:rFonts w:ascii="Times New Roman" w:hAnsi="Times New Roman"/>
                <w:sz w:val="24"/>
                <w:szCs w:val="24"/>
              </w:rPr>
              <w:t>64</w:t>
            </w:r>
          </w:p>
        </w:tc>
      </w:tr>
      <w:tr w:rsidR="00AF12EC" w:rsidRPr="00B263DB" w:rsidTr="00C110FB">
        <w:tc>
          <w:tcPr>
            <w:tcW w:w="7196" w:type="dxa"/>
            <w:tcBorders>
              <w:top w:val="single" w:sz="4" w:space="0" w:color="auto"/>
              <w:left w:val="single" w:sz="4" w:space="0" w:color="auto"/>
              <w:bottom w:val="single" w:sz="4" w:space="0" w:color="auto"/>
              <w:right w:val="single" w:sz="4" w:space="0" w:color="auto"/>
            </w:tcBorders>
          </w:tcPr>
          <w:p w:rsidR="00AF12EC" w:rsidRPr="00B263DB" w:rsidRDefault="00AF12EC" w:rsidP="00C911A5">
            <w:pPr>
              <w:pStyle w:val="ac"/>
              <w:widowControl w:val="0"/>
              <w:jc w:val="both"/>
              <w:rPr>
                <w:rFonts w:ascii="Times New Roman" w:hAnsi="Times New Roman"/>
                <w:sz w:val="24"/>
                <w:szCs w:val="24"/>
              </w:rPr>
            </w:pPr>
            <w:r w:rsidRPr="00B263DB">
              <w:rPr>
                <w:rFonts w:ascii="Times New Roman" w:hAnsi="Times New Roman"/>
                <w:sz w:val="24"/>
                <w:szCs w:val="24"/>
              </w:rPr>
              <w:t>Самостоятельная работа обучающегося (всего)</w:t>
            </w:r>
          </w:p>
        </w:tc>
        <w:tc>
          <w:tcPr>
            <w:tcW w:w="2374" w:type="dxa"/>
            <w:tcBorders>
              <w:top w:val="single" w:sz="4" w:space="0" w:color="auto"/>
              <w:left w:val="single" w:sz="4" w:space="0" w:color="auto"/>
              <w:bottom w:val="single" w:sz="4" w:space="0" w:color="auto"/>
              <w:right w:val="single" w:sz="4" w:space="0" w:color="auto"/>
            </w:tcBorders>
          </w:tcPr>
          <w:p w:rsidR="00AF12EC" w:rsidRPr="00B263DB" w:rsidRDefault="00AF12EC" w:rsidP="003B0237">
            <w:pPr>
              <w:pStyle w:val="ac"/>
              <w:widowControl w:val="0"/>
              <w:jc w:val="both"/>
              <w:rPr>
                <w:rFonts w:ascii="Times New Roman" w:hAnsi="Times New Roman"/>
                <w:sz w:val="24"/>
                <w:szCs w:val="24"/>
              </w:rPr>
            </w:pPr>
          </w:p>
        </w:tc>
      </w:tr>
      <w:tr w:rsidR="00275147" w:rsidRPr="00C911A5" w:rsidTr="00C110FB">
        <w:tc>
          <w:tcPr>
            <w:tcW w:w="7196" w:type="dxa"/>
            <w:tcBorders>
              <w:top w:val="single" w:sz="4" w:space="0" w:color="auto"/>
              <w:left w:val="single" w:sz="4" w:space="0" w:color="auto"/>
              <w:bottom w:val="single" w:sz="4" w:space="0" w:color="auto"/>
              <w:right w:val="single" w:sz="4" w:space="0" w:color="auto"/>
            </w:tcBorders>
          </w:tcPr>
          <w:p w:rsidR="00275147" w:rsidRPr="00B263DB" w:rsidRDefault="0078074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 xml:space="preserve">Промежуточная аттестация  </w:t>
            </w:r>
            <w:r w:rsidR="00275147" w:rsidRPr="00B263DB">
              <w:rPr>
                <w:rFonts w:ascii="Times New Roman" w:hAnsi="Times New Roman"/>
                <w:sz w:val="24"/>
                <w:szCs w:val="24"/>
              </w:rPr>
              <w:t>в форме  дифференцированного  зачета</w:t>
            </w:r>
          </w:p>
        </w:tc>
        <w:tc>
          <w:tcPr>
            <w:tcW w:w="2374" w:type="dxa"/>
            <w:tcBorders>
              <w:top w:val="single" w:sz="4" w:space="0" w:color="auto"/>
              <w:left w:val="single" w:sz="4" w:space="0" w:color="auto"/>
              <w:bottom w:val="single" w:sz="4" w:space="0" w:color="auto"/>
              <w:right w:val="single" w:sz="4" w:space="0" w:color="auto"/>
            </w:tcBorders>
          </w:tcPr>
          <w:p w:rsidR="00275147" w:rsidRPr="00C911A5" w:rsidRDefault="00C115F8"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r w:rsidR="00224D7F" w:rsidRPr="003D25AB">
              <w:rPr>
                <w:rFonts w:ascii="Times New Roman" w:hAnsi="Times New Roman"/>
                <w:sz w:val="24"/>
                <w:szCs w:val="24"/>
              </w:rPr>
              <w:t xml:space="preserve">практическаое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безопасностив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безопасностив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Основы противодействия экстремизму, терроризму и наркотизму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Здоровый образ 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Инфекционные заболевания, их 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w:t>
            </w:r>
            <w:proofErr w:type="gramStart"/>
            <w:r w:rsidRPr="000728DF">
              <w:rPr>
                <w:b w:val="0"/>
                <w:sz w:val="24"/>
                <w:szCs w:val="24"/>
              </w:rPr>
              <w:t>о-</w:t>
            </w:r>
            <w:proofErr w:type="gramEnd"/>
            <w:r w:rsidRPr="000728DF">
              <w:rPr>
                <w:b w:val="0"/>
                <w:sz w:val="24"/>
                <w:szCs w:val="24"/>
              </w:rP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Раскрывает вопросы строевой</w:t>
            </w:r>
            <w:proofErr w:type="gramStart"/>
            <w:r w:rsidRPr="000728DF">
              <w:rPr>
                <w:sz w:val="24"/>
                <w:szCs w:val="24"/>
              </w:rPr>
              <w:t>,о</w:t>
            </w:r>
            <w:proofErr w:type="gramEnd"/>
            <w:r w:rsidRPr="000728DF">
              <w:rPr>
                <w:sz w:val="24"/>
                <w:szCs w:val="24"/>
              </w:rPr>
              <w:t>гневой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r w:rsidRPr="000728DF">
              <w:rPr>
                <w:sz w:val="24"/>
                <w:szCs w:val="24"/>
              </w:rPr>
              <w:t>Военн</w:t>
            </w:r>
            <w:proofErr w:type="gramStart"/>
            <w:r w:rsidRPr="000728DF">
              <w:rPr>
                <w:sz w:val="24"/>
                <w:szCs w:val="24"/>
              </w:rPr>
              <w:t>о-</w:t>
            </w:r>
            <w:proofErr w:type="gramEnd"/>
            <w:r w:rsidRPr="000728DF">
              <w:rPr>
                <w:sz w:val="24"/>
                <w:szCs w:val="24"/>
              </w:rPr>
              <w:t xml:space="preserve"> профессиональная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(подготвка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мультимедийный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2.Смирнов А.Т. «Основы безопасности и жизнедеятельности» для 11 кл.,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3.Фролов М.П.. «Основы безопасности и жизнедеятельности» для 10 кл.,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www.bti.secna.ru</w:t>
      </w:r>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fnimb. org).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9.Разработки уроков поурочные планы рекомендации, все бесплатно. http://kuhta.clan.su/ 10.Персональный сайт зам. директора школы по БЖ МОУ «Горскинская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D63BB9" w:rsidRPr="00C911A5" w:rsidTr="00704D2F">
        <w:tc>
          <w:tcPr>
            <w:tcW w:w="4928" w:type="dxa"/>
          </w:tcPr>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D63BB9" w:rsidRPr="00C911A5" w:rsidRDefault="00D63BB9" w:rsidP="00704D2F">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D63BB9" w:rsidRPr="00C911A5" w:rsidTr="00704D2F">
        <w:trPr>
          <w:trHeight w:val="1562"/>
        </w:trPr>
        <w:tc>
          <w:tcPr>
            <w:tcW w:w="4928" w:type="dxa"/>
            <w:tcBorders>
              <w:bottom w:val="single" w:sz="4" w:space="0" w:color="auto"/>
            </w:tcBorders>
          </w:tcPr>
          <w:p w:rsidR="00D63BB9" w:rsidRDefault="00D63BB9" w:rsidP="00704D2F">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D63BB9" w:rsidRPr="00804F73" w:rsidRDefault="00D63BB9" w:rsidP="00704D2F">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нормативных правовых актов в области охраны </w:t>
            </w:r>
            <w:r w:rsidRPr="00804F73">
              <w:rPr>
                <w:rFonts w:ascii="Times New Roman" w:hAnsi="Times New Roman"/>
                <w:sz w:val="24"/>
                <w:szCs w:val="24"/>
                <w:u w:color="000000"/>
                <w:bdr w:val="nil"/>
                <w:lang w:eastAsia="ru-RU"/>
              </w:rPr>
              <w:lastRenderedPageBreak/>
              <w:t>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экориска, объяснять, как снизить последствия их воздействия;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w:t>
            </w:r>
            <w:r w:rsidRPr="00804F73">
              <w:rPr>
                <w:rFonts w:ascii="Times New Roman" w:hAnsi="Times New Roman"/>
                <w:sz w:val="24"/>
                <w:szCs w:val="24"/>
                <w:u w:color="000000"/>
                <w:bdr w:val="nil"/>
                <w:lang w:eastAsia="ru-RU"/>
              </w:rPr>
              <w:lastRenderedPageBreak/>
              <w:t>поведения во время занятий современными молодежными хобби;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w:t>
            </w:r>
            <w:r w:rsidRPr="00804F73">
              <w:rPr>
                <w:rFonts w:ascii="Times New Roman" w:hAnsi="Times New Roman"/>
                <w:sz w:val="24"/>
                <w:szCs w:val="24"/>
                <w:u w:color="000000"/>
                <w:bdr w:val="nil"/>
                <w:lang w:eastAsia="ru-RU"/>
              </w:rPr>
              <w:lastRenderedPageBreak/>
              <w:t>этих действий;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противодействия экстремизму, терроризму и наркотизму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взаимосвязь экстремизма, терроризма и наркотизма;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органы исполнительной власти, осуществляющие противодействие экстремизму, терроризму и наркотизму в </w:t>
            </w:r>
            <w:r w:rsidRPr="00804F73">
              <w:rPr>
                <w:rFonts w:ascii="Times New Roman" w:hAnsi="Times New Roman"/>
                <w:sz w:val="24"/>
                <w:szCs w:val="24"/>
                <w:u w:color="000000"/>
                <w:bdr w:val="nil"/>
                <w:lang w:eastAsia="ru-RU"/>
              </w:rPr>
              <w:lastRenderedPageBreak/>
              <w:t>Российской Федерации;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значение здорового образа жизни для благополучия общества и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w:t>
            </w:r>
            <w:r w:rsidRPr="00804F73">
              <w:rPr>
                <w:rFonts w:ascii="Times New Roman" w:hAnsi="Times New Roman"/>
                <w:sz w:val="24"/>
                <w:szCs w:val="24"/>
                <w:u w:color="000000"/>
                <w:bdr w:val="nil"/>
                <w:lang w:eastAsia="ru-RU"/>
              </w:rPr>
              <w:lastRenderedPageBreak/>
              <w:t xml:space="preserve">прав и определения ответственности;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их предназначение и задачи;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D63BB9" w:rsidRPr="00804F73" w:rsidRDefault="00D63BB9" w:rsidP="00704D2F">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w:t>
            </w:r>
            <w:r w:rsidRPr="00804F73">
              <w:rPr>
                <w:rFonts w:ascii="Times New Roman" w:hAnsi="Times New Roman"/>
                <w:sz w:val="24"/>
                <w:szCs w:val="24"/>
                <w:u w:color="000000"/>
                <w:bdr w:val="nil"/>
                <w:lang w:eastAsia="ru-RU"/>
              </w:rPr>
              <w:lastRenderedPageBreak/>
              <w:t>обучении элементам строевой подготовки;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предназначение современного </w:t>
            </w:r>
            <w:r w:rsidRPr="00804F73">
              <w:rPr>
                <w:rFonts w:ascii="Times New Roman" w:hAnsi="Times New Roman"/>
                <w:sz w:val="24"/>
                <w:szCs w:val="24"/>
                <w:u w:color="000000"/>
                <w:bdr w:val="nil"/>
                <w:lang w:eastAsia="ru-RU"/>
              </w:rPr>
              <w:lastRenderedPageBreak/>
              <w:t>общевойскового боя;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современный общевойсковой бой;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 каких случаях используются перебежки и переползания;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перебежки и переползания (по-пластунски, на получетвереньках, на боку);</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D63BB9" w:rsidRPr="00804F73" w:rsidRDefault="00D63BB9" w:rsidP="00704D2F">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D63BB9" w:rsidRPr="00804F73" w:rsidRDefault="00D63BB9" w:rsidP="00704D2F">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D63BB9" w:rsidRDefault="00D63BB9" w:rsidP="00704D2F">
            <w:pPr>
              <w:pStyle w:val="ac"/>
              <w:widowControl w:val="0"/>
              <w:jc w:val="both"/>
              <w:rPr>
                <w:rFonts w:ascii="Times New Roman" w:hAnsi="Times New Roman"/>
                <w:sz w:val="24"/>
                <w:szCs w:val="24"/>
              </w:rPr>
            </w:pPr>
          </w:p>
          <w:p w:rsidR="00704D2F" w:rsidRDefault="00704D2F" w:rsidP="00704D2F">
            <w:pPr>
              <w:pStyle w:val="ac"/>
              <w:widowControl w:val="0"/>
              <w:jc w:val="both"/>
              <w:rPr>
                <w:rFonts w:ascii="Times New Roman" w:hAnsi="Times New Roman"/>
                <w:sz w:val="24"/>
                <w:szCs w:val="24"/>
              </w:rPr>
            </w:pPr>
          </w:p>
          <w:p w:rsidR="00704D2F" w:rsidRPr="00C911A5" w:rsidRDefault="00704D2F" w:rsidP="00704D2F">
            <w:pPr>
              <w:pStyle w:val="ac"/>
              <w:widowControl w:val="0"/>
              <w:jc w:val="both"/>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D63BB9" w:rsidRPr="001C75C2" w:rsidRDefault="00D63BB9" w:rsidP="00704D2F">
            <w:pPr>
              <w:spacing w:line="240" w:lineRule="auto"/>
              <w:contextualSpacing/>
              <w:rPr>
                <w:rFonts w:ascii="Times New Roman" w:hAnsi="Times New Roman"/>
                <w:sz w:val="24"/>
                <w:szCs w:val="24"/>
              </w:rPr>
            </w:pPr>
          </w:p>
          <w:p w:rsidR="00D63BB9" w:rsidRPr="001C75C2" w:rsidRDefault="00D63BB9" w:rsidP="00704D2F">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Pr="001C75C2" w:rsidRDefault="00D63BB9" w:rsidP="00704D2F">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D63BB9" w:rsidRDefault="00D63BB9" w:rsidP="00704D2F">
            <w:pPr>
              <w:pStyle w:val="ConsPlusNormal"/>
              <w:jc w:val="both"/>
              <w:rPr>
                <w:rFonts w:ascii="Times New Roman" w:hAnsi="Times New Roman" w:cs="Times New Roman"/>
                <w:sz w:val="24"/>
                <w:szCs w:val="24"/>
              </w:rPr>
            </w:pPr>
          </w:p>
          <w:p w:rsidR="00D63BB9" w:rsidRPr="00C911A5" w:rsidRDefault="00D63BB9" w:rsidP="00704D2F">
            <w:pPr>
              <w:pStyle w:val="af2"/>
              <w:widowControl w:val="0"/>
              <w:spacing w:before="0" w:beforeAutospacing="0" w:after="0" w:afterAutospacing="0"/>
              <w:jc w:val="both"/>
            </w:pPr>
          </w:p>
        </w:tc>
        <w:tc>
          <w:tcPr>
            <w:tcW w:w="4642" w:type="dxa"/>
            <w:tcBorders>
              <w:bottom w:val="single" w:sz="4" w:space="0" w:color="auto"/>
            </w:tcBorders>
          </w:tcPr>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D63BB9" w:rsidRPr="00156456" w:rsidRDefault="00D63BB9" w:rsidP="00704D2F">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D63BB9" w:rsidRPr="00156456"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Default="00D63BB9" w:rsidP="00704D2F">
            <w:pPr>
              <w:widowControl w:val="0"/>
              <w:spacing w:after="0" w:line="240" w:lineRule="auto"/>
              <w:jc w:val="both"/>
              <w:rPr>
                <w:rFonts w:ascii="Times New Roman" w:hAnsi="Times New Roman"/>
                <w:sz w:val="24"/>
                <w:szCs w:val="24"/>
              </w:rPr>
            </w:pPr>
          </w:p>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D63BB9" w:rsidRPr="00C911A5" w:rsidTr="00704D2F">
        <w:trPr>
          <w:trHeight w:hRule="exact" w:val="718"/>
        </w:trPr>
        <w:tc>
          <w:tcPr>
            <w:tcW w:w="4928" w:type="dxa"/>
            <w:tcBorders>
              <w:top w:val="single" w:sz="4" w:space="0" w:color="auto"/>
              <w:bottom w:val="single" w:sz="4" w:space="0" w:color="auto"/>
            </w:tcBorders>
          </w:tcPr>
          <w:p w:rsidR="00D63BB9" w:rsidRPr="00C911A5" w:rsidRDefault="00D63BB9" w:rsidP="00704D2F">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D63BB9" w:rsidRPr="00C911A5" w:rsidRDefault="00D63BB9" w:rsidP="00704D2F">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77" w:rsidRDefault="009E3377" w:rsidP="00CE309E">
      <w:pPr>
        <w:spacing w:after="0" w:line="240" w:lineRule="auto"/>
      </w:pPr>
      <w:r>
        <w:separator/>
      </w:r>
    </w:p>
  </w:endnote>
  <w:endnote w:type="continuationSeparator" w:id="0">
    <w:p w:rsidR="009E3377" w:rsidRDefault="009E3377"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704D2F" w:rsidRPr="00C911A5" w:rsidRDefault="00D76CE8">
        <w:pPr>
          <w:pStyle w:val="a9"/>
          <w:jc w:val="right"/>
          <w:rPr>
            <w:rFonts w:ascii="Times New Roman" w:hAnsi="Times New Roman"/>
            <w:sz w:val="24"/>
            <w:szCs w:val="24"/>
          </w:rPr>
        </w:pPr>
        <w:r w:rsidRPr="00C911A5">
          <w:rPr>
            <w:rFonts w:ascii="Times New Roman" w:hAnsi="Times New Roman"/>
            <w:sz w:val="24"/>
            <w:szCs w:val="24"/>
          </w:rPr>
          <w:fldChar w:fldCharType="begin"/>
        </w:r>
        <w:r w:rsidR="00704D2F"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DB2CAE">
          <w:rPr>
            <w:rFonts w:ascii="Times New Roman" w:hAnsi="Times New Roman"/>
            <w:noProof/>
            <w:sz w:val="24"/>
            <w:szCs w:val="24"/>
          </w:rPr>
          <w:t>2</w:t>
        </w:r>
        <w:r w:rsidRPr="00C911A5">
          <w:rPr>
            <w:rFonts w:ascii="Times New Roman" w:hAnsi="Times New Roman"/>
            <w:sz w:val="24"/>
            <w:szCs w:val="24"/>
          </w:rPr>
          <w:fldChar w:fldCharType="end"/>
        </w:r>
      </w:p>
    </w:sdtContent>
  </w:sdt>
  <w:p w:rsidR="00704D2F" w:rsidRDefault="00704D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77" w:rsidRDefault="009E3377" w:rsidP="00CE309E">
      <w:pPr>
        <w:spacing w:after="0" w:line="240" w:lineRule="auto"/>
      </w:pPr>
      <w:r>
        <w:separator/>
      </w:r>
    </w:p>
  </w:footnote>
  <w:footnote w:type="continuationSeparator" w:id="0">
    <w:p w:rsidR="009E3377" w:rsidRDefault="009E3377"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E0310"/>
    <w:rsid w:val="00001784"/>
    <w:rsid w:val="00003493"/>
    <w:rsid w:val="00006796"/>
    <w:rsid w:val="00017F3D"/>
    <w:rsid w:val="00026C48"/>
    <w:rsid w:val="00033CAE"/>
    <w:rsid w:val="000343B3"/>
    <w:rsid w:val="0005042A"/>
    <w:rsid w:val="00060A49"/>
    <w:rsid w:val="000728DF"/>
    <w:rsid w:val="00075036"/>
    <w:rsid w:val="00087FC6"/>
    <w:rsid w:val="0009076C"/>
    <w:rsid w:val="00092DCE"/>
    <w:rsid w:val="00094D40"/>
    <w:rsid w:val="000A24F6"/>
    <w:rsid w:val="000A4C72"/>
    <w:rsid w:val="000B4BF3"/>
    <w:rsid w:val="000D4AE9"/>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597F"/>
    <w:rsid w:val="00175AFB"/>
    <w:rsid w:val="0019409A"/>
    <w:rsid w:val="001A0DF8"/>
    <w:rsid w:val="001B359C"/>
    <w:rsid w:val="001B6E28"/>
    <w:rsid w:val="001C677A"/>
    <w:rsid w:val="001D202A"/>
    <w:rsid w:val="001E65D3"/>
    <w:rsid w:val="001E7A75"/>
    <w:rsid w:val="001F0551"/>
    <w:rsid w:val="001F2A53"/>
    <w:rsid w:val="001F4A76"/>
    <w:rsid w:val="001F5B47"/>
    <w:rsid w:val="002063B5"/>
    <w:rsid w:val="00214DFB"/>
    <w:rsid w:val="00217A89"/>
    <w:rsid w:val="00217B1A"/>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2F6BE4"/>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32048"/>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04D2F"/>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5C1"/>
    <w:rsid w:val="00791E62"/>
    <w:rsid w:val="007A0ABE"/>
    <w:rsid w:val="007A12DA"/>
    <w:rsid w:val="007A139E"/>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E3377"/>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96E43"/>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E2537"/>
    <w:rsid w:val="00CE309E"/>
    <w:rsid w:val="00CE34C5"/>
    <w:rsid w:val="00CE4737"/>
    <w:rsid w:val="00D003BF"/>
    <w:rsid w:val="00D03613"/>
    <w:rsid w:val="00D14C76"/>
    <w:rsid w:val="00D16580"/>
    <w:rsid w:val="00D27D9F"/>
    <w:rsid w:val="00D45667"/>
    <w:rsid w:val="00D45BA7"/>
    <w:rsid w:val="00D4689F"/>
    <w:rsid w:val="00D5035E"/>
    <w:rsid w:val="00D5195A"/>
    <w:rsid w:val="00D53704"/>
    <w:rsid w:val="00D63BB9"/>
    <w:rsid w:val="00D66ED6"/>
    <w:rsid w:val="00D728FB"/>
    <w:rsid w:val="00D72AC2"/>
    <w:rsid w:val="00D7413E"/>
    <w:rsid w:val="00D76CE8"/>
    <w:rsid w:val="00D92F9F"/>
    <w:rsid w:val="00DA3A41"/>
    <w:rsid w:val="00DA6946"/>
    <w:rsid w:val="00DB01EA"/>
    <w:rsid w:val="00DB2CAE"/>
    <w:rsid w:val="00DB7882"/>
    <w:rsid w:val="00DD0519"/>
    <w:rsid w:val="00DD1946"/>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E646-8F1A-45EF-9B17-E38CDD87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9576</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Заместитель директора по УПР</cp:lastModifiedBy>
  <cp:revision>20</cp:revision>
  <cp:lastPrinted>2021-04-15T04:38:00Z</cp:lastPrinted>
  <dcterms:created xsi:type="dcterms:W3CDTF">2020-05-26T10:50:00Z</dcterms:created>
  <dcterms:modified xsi:type="dcterms:W3CDTF">2021-05-18T03:15:00Z</dcterms:modified>
</cp:coreProperties>
</file>